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2B91DBA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2A5174" w:rsidR="002A517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86MS0041-01-2026-000845-71</w:t>
      </w:r>
    </w:p>
    <w:p w:rsidR="0053439C" w:rsidRPr="004F3A7A" w:rsidP="006E2C47" w14:paraId="25B89289" w14:textId="5783D32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66C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426B6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="00DA186E">
        <w:rPr>
          <w:rFonts w:ascii="Times New Roman" w:hAnsi="Times New Roman"/>
          <w:b w:val="0"/>
          <w:sz w:val="26"/>
          <w:szCs w:val="26"/>
          <w:lang w:val="ru-RU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05E633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Гаджиева МГ,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22;***, зарегистрированного по адресу: ***,  проживающего по адресу: ***,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1AC6A4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BE6718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>Гаджиев 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A5174">
        <w:rPr>
          <w:sz w:val="26"/>
          <w:szCs w:val="26"/>
        </w:rPr>
        <w:t>1500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11</w:t>
      </w:r>
      <w:r>
        <w:rPr>
          <w:sz w:val="26"/>
          <w:szCs w:val="26"/>
        </w:rPr>
        <w:t>070138</w:t>
      </w:r>
      <w:r w:rsidR="002A5174">
        <w:rPr>
          <w:sz w:val="26"/>
          <w:szCs w:val="26"/>
        </w:rPr>
        <w:t>81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07</w:t>
      </w:r>
      <w:r w:rsidR="00BE6718">
        <w:rPr>
          <w:sz w:val="26"/>
          <w:szCs w:val="26"/>
        </w:rPr>
        <w:t>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BE671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</w:t>
      </w:r>
      <w:r w:rsidRPr="004F3A7A">
        <w:rPr>
          <w:sz w:val="26"/>
          <w:szCs w:val="26"/>
        </w:rPr>
        <w:t>АП РФ;</w:t>
      </w:r>
    </w:p>
    <w:p w:rsidR="0053439C" w:rsidP="0053439C" w14:paraId="76883693" w14:textId="170D6CE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2A5174">
        <w:rPr>
          <w:sz w:val="26"/>
          <w:szCs w:val="26"/>
        </w:rPr>
        <w:t>18810586251107013881</w:t>
      </w:r>
      <w:r w:rsidRPr="004F3A7A" w:rsidR="002A5174">
        <w:rPr>
          <w:sz w:val="26"/>
          <w:szCs w:val="26"/>
        </w:rPr>
        <w:t xml:space="preserve"> </w:t>
      </w:r>
      <w:r w:rsidRPr="004F3A7A" w:rsidR="00B96D8A">
        <w:rPr>
          <w:sz w:val="26"/>
          <w:szCs w:val="26"/>
        </w:rPr>
        <w:t xml:space="preserve">от </w:t>
      </w:r>
      <w:r w:rsidR="00B96D8A">
        <w:rPr>
          <w:sz w:val="26"/>
          <w:szCs w:val="26"/>
        </w:rPr>
        <w:t>07.11.2025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2A5174">
        <w:rPr>
          <w:sz w:val="26"/>
          <w:szCs w:val="26"/>
        </w:rPr>
        <w:t>3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2A5174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33908B37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2A5174">
        <w:rPr>
          <w:sz w:val="26"/>
          <w:szCs w:val="26"/>
        </w:rPr>
        <w:t>18810586251107013881</w:t>
      </w:r>
      <w:r w:rsidRPr="004F3A7A" w:rsidR="002A5174">
        <w:rPr>
          <w:sz w:val="26"/>
          <w:szCs w:val="26"/>
        </w:rPr>
        <w:t xml:space="preserve"> </w:t>
      </w:r>
      <w:r w:rsidRPr="004F3A7A" w:rsidR="00B96D8A">
        <w:rPr>
          <w:sz w:val="26"/>
          <w:szCs w:val="26"/>
        </w:rPr>
        <w:t xml:space="preserve">от </w:t>
      </w:r>
      <w:r w:rsidR="00B96D8A">
        <w:rPr>
          <w:sz w:val="26"/>
          <w:szCs w:val="26"/>
        </w:rPr>
        <w:t xml:space="preserve">07.11.2025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C52F26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025CCD1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2A5174">
        <w:rPr>
          <w:sz w:val="26"/>
          <w:szCs w:val="26"/>
        </w:rPr>
        <w:t>3 000</w:t>
      </w:r>
      <w:r w:rsidRPr="00D97E21">
        <w:rPr>
          <w:sz w:val="26"/>
          <w:szCs w:val="26"/>
        </w:rPr>
        <w:t xml:space="preserve"> (</w:t>
      </w:r>
      <w:r w:rsidR="002A5174"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 w:rsidR="002A5174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278AF7D5">
      <w:pPr>
        <w:ind w:left="20" w:right="40" w:firstLine="720"/>
        <w:jc w:val="both"/>
        <w:rPr>
          <w:rStyle w:val="label2"/>
        </w:rPr>
      </w:pPr>
      <w:r w:rsidRPr="005B1681">
        <w:t>Реквизиты для опла</w:t>
      </w:r>
      <w:r w:rsidRPr="005B1681">
        <w:t xml:space="preserve">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403356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2A5174" w:rsidR="002A5174">
        <w:rPr>
          <w:lang w:eastAsia="en-US"/>
        </w:rPr>
        <w:t>0412365400415002642620156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</w:t>
      </w:r>
      <w:r w:rsidRPr="00D97E21">
        <w:rPr>
          <w:sz w:val="26"/>
          <w:szCs w:val="26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D97E21">
        <w:rPr>
          <w:sz w:val="26"/>
          <w:szCs w:val="26"/>
        </w:rP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</w:t>
      </w:r>
      <w:r w:rsidRPr="00D97E21">
        <w:rPr>
          <w:sz w:val="26"/>
          <w:szCs w:val="26"/>
        </w:rPr>
        <w:t>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</w:t>
      </w:r>
      <w:r w:rsidRPr="00D97E21">
        <w:rPr>
          <w:sz w:val="26"/>
          <w:szCs w:val="26"/>
        </w:rPr>
        <w:t>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24F4D" w14:paraId="7C8A461C" w14:textId="052F36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48CF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03F6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05EEE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174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24F4D"/>
    <w:rsid w:val="00530363"/>
    <w:rsid w:val="0053422E"/>
    <w:rsid w:val="0053439C"/>
    <w:rsid w:val="0054466A"/>
    <w:rsid w:val="00546041"/>
    <w:rsid w:val="00546E29"/>
    <w:rsid w:val="0055176B"/>
    <w:rsid w:val="00554E6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E78C4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670F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6D8A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BF6A13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426B6"/>
    <w:rsid w:val="00D50405"/>
    <w:rsid w:val="00D559D6"/>
    <w:rsid w:val="00D97E21"/>
    <w:rsid w:val="00DA186E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18B0-592F-4B30-A047-E147D2CB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